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39F8B1D4" w:rsidR="004B17E3" w:rsidRPr="00805526" w:rsidRDefault="004B17E3" w:rsidP="005E56C2">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w:t>
      </w:r>
      <w:r w:rsidR="00451B62" w:rsidRPr="00805526">
        <w:rPr>
          <w:rFonts w:ascii="Arial" w:hAnsi="Arial" w:cs="Arial"/>
          <w:b/>
          <w:bCs/>
          <w:lang w:val="pt-BR"/>
        </w:rPr>
        <w:t>2</w:t>
      </w:r>
      <w:r w:rsidRPr="00805526">
        <w:rPr>
          <w:rFonts w:ascii="Arial" w:hAnsi="Arial" w:cs="Arial"/>
          <w:b/>
          <w:bCs/>
          <w:lang w:val="pt-BR"/>
        </w:rPr>
        <w:t xml:space="preserve"> #1</w:t>
      </w:r>
      <w:r w:rsidR="00451B62" w:rsidRPr="00805526">
        <w:rPr>
          <w:rFonts w:ascii="Arial" w:hAnsi="Arial" w:cs="Arial"/>
          <w:b/>
          <w:bCs/>
          <w:lang w:val="pt-BR"/>
        </w:rPr>
        <w:t>1</w:t>
      </w:r>
      <w:r w:rsidR="00D85ADC">
        <w:rPr>
          <w:rFonts w:ascii="Arial" w:hAnsi="Arial" w:cs="Arial"/>
          <w:b/>
          <w:bCs/>
          <w:lang w:val="pt-BR"/>
        </w:rPr>
        <w:t>6</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451B62" w:rsidRPr="00805526">
        <w:rPr>
          <w:rFonts w:ascii="Arial" w:hAnsi="Arial" w:cs="Arial"/>
          <w:b/>
          <w:bCs/>
          <w:lang w:val="pt-BR"/>
        </w:rPr>
        <w:t>2</w:t>
      </w:r>
      <w:r w:rsidRPr="00805526">
        <w:rPr>
          <w:rFonts w:ascii="Arial" w:hAnsi="Arial" w:cs="Arial"/>
          <w:b/>
          <w:bCs/>
          <w:lang w:val="pt-BR"/>
        </w:rPr>
        <w:t>-2</w:t>
      </w:r>
      <w:r w:rsidR="00E5241F" w:rsidRPr="00805526">
        <w:rPr>
          <w:rFonts w:ascii="Arial" w:hAnsi="Arial" w:cs="Arial"/>
          <w:b/>
          <w:bCs/>
          <w:lang w:val="pt-BR"/>
        </w:rPr>
        <w:t>1</w:t>
      </w:r>
      <w:r w:rsidR="009840DA">
        <w:rPr>
          <w:rFonts w:ascii="Arial" w:hAnsi="Arial" w:cs="Arial"/>
          <w:b/>
          <w:bCs/>
          <w:lang w:val="pt-BR"/>
        </w:rPr>
        <w:t>1</w:t>
      </w:r>
      <w:r w:rsidR="00C86550">
        <w:rPr>
          <w:rFonts w:ascii="Arial" w:hAnsi="Arial" w:cs="Arial"/>
          <w:b/>
          <w:bCs/>
          <w:lang w:val="pt-BR"/>
        </w:rPr>
        <w:t>0</w:t>
      </w:r>
      <w:r w:rsidR="007D689E">
        <w:rPr>
          <w:rFonts w:ascii="Arial" w:hAnsi="Arial" w:cs="Arial"/>
          <w:b/>
          <w:bCs/>
          <w:lang w:val="pt-BR"/>
        </w:rPr>
        <w:t>074</w:t>
      </w:r>
    </w:p>
    <w:p w14:paraId="78D1E51D" w14:textId="090C82BE" w:rsidR="004B17E3" w:rsidRPr="00210D4C" w:rsidRDefault="004B17E3" w:rsidP="005E56C2">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D85ADC">
        <w:rPr>
          <w:rFonts w:ascii="Arial" w:eastAsia="MS Mincho" w:hAnsi="Arial" w:cs="Arial"/>
          <w:b/>
          <w:bCs/>
          <w:lang w:eastAsia="ja-JP"/>
        </w:rPr>
        <w:t>November</w:t>
      </w:r>
      <w:r w:rsidR="0052364D" w:rsidRPr="00435F1E">
        <w:rPr>
          <w:rFonts w:ascii="Arial" w:eastAsia="MS Mincho" w:hAnsi="Arial" w:cs="Arial"/>
          <w:b/>
          <w:bCs/>
          <w:lang w:eastAsia="ja-JP"/>
        </w:rPr>
        <w:t xml:space="preserve"> </w:t>
      </w:r>
      <w:r w:rsidR="00805526">
        <w:rPr>
          <w:rFonts w:ascii="Arial" w:eastAsia="MS Mincho" w:hAnsi="Arial" w:cs="Arial"/>
          <w:b/>
          <w:bCs/>
          <w:lang w:eastAsia="ja-JP"/>
        </w:rPr>
        <w:t>1</w:t>
      </w:r>
      <w:r w:rsidR="00D85ADC">
        <w:rPr>
          <w:rFonts w:ascii="Arial" w:eastAsia="MS Mincho" w:hAnsi="Arial" w:cs="Arial"/>
          <w:b/>
          <w:bCs/>
          <w:lang w:eastAsia="ja-JP"/>
        </w:rPr>
        <w:t>-12</w:t>
      </w:r>
      <w:r w:rsidR="0052364D" w:rsidRPr="00435F1E">
        <w:rPr>
          <w:rFonts w:ascii="Arial" w:eastAsia="MS Mincho" w:hAnsi="Arial" w:cs="Arial"/>
          <w:b/>
          <w:bCs/>
          <w:lang w:eastAsia="ja-JP"/>
        </w:rPr>
        <w:t>, 20</w:t>
      </w:r>
      <w:r w:rsidR="0052364D">
        <w:rPr>
          <w:rFonts w:ascii="Arial" w:eastAsia="MS Mincho" w:hAnsi="Arial" w:cs="Arial"/>
          <w:b/>
          <w:bCs/>
          <w:lang w:eastAsia="ja-JP"/>
        </w:rPr>
        <w:t>21</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591A2240" w:rsidR="00E90E49" w:rsidRPr="00764EBC" w:rsidRDefault="00E90E49" w:rsidP="005E56C2">
      <w:pPr>
        <w:pStyle w:val="3GPPHeader"/>
        <w:jc w:val="both"/>
      </w:pPr>
      <w:r w:rsidRPr="00764EBC">
        <w:t>Agenda Item:</w:t>
      </w:r>
      <w:r w:rsidRPr="00764EBC">
        <w:tab/>
      </w:r>
      <w:r w:rsidR="00DF1985">
        <w:t>8.14.</w:t>
      </w:r>
      <w:r w:rsidR="007D689E">
        <w:t>3</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42BD0BF7" w:rsidR="00531215" w:rsidRPr="00764EBC" w:rsidRDefault="003D3C45" w:rsidP="008674CA">
      <w:pPr>
        <w:pStyle w:val="3GPPHeader"/>
        <w:jc w:val="both"/>
      </w:pPr>
      <w:r w:rsidRPr="00764EBC">
        <w:t>Title:</w:t>
      </w:r>
      <w:r w:rsidR="00E90E49" w:rsidRPr="00764EBC">
        <w:tab/>
      </w:r>
      <w:r w:rsidR="00D85ADC">
        <w:t>RRC segmentation</w:t>
      </w:r>
      <w:r w:rsidR="005B5BFF">
        <w:t xml:space="preserve"> for NR QoE</w:t>
      </w:r>
      <w:r w:rsidR="00805526">
        <w:t xml:space="preserve"> </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62B19BA9" w14:textId="2E1AD559" w:rsidR="00AD7812" w:rsidRDefault="00C67F4F" w:rsidP="005E56C2">
      <w:pPr>
        <w:pStyle w:val="Comments"/>
        <w:jc w:val="both"/>
        <w:rPr>
          <w:rFonts w:ascii="Times New Roman" w:hAnsi="Times New Roman"/>
          <w:i w:val="0"/>
          <w:iCs/>
          <w:sz w:val="24"/>
        </w:rPr>
      </w:pPr>
      <w:r>
        <w:rPr>
          <w:rFonts w:ascii="Times New Roman" w:hAnsi="Times New Roman"/>
          <w:i w:val="0"/>
          <w:iCs/>
          <w:sz w:val="24"/>
        </w:rPr>
        <w:t xml:space="preserve">RAN2 has previously discussed the maximum container size of a QoE measurement configuration and QoE measurement report. Subsequently an LS was sent to SA4 to ask if the maximum container sizes assumed for LTE, namely 1000 bytes for QoE measurement configuration and 8000 bytes for QoE measurement report, can also be assumed for NR </w:t>
      </w:r>
      <w:r w:rsidR="00BF6FA1">
        <w:rPr>
          <w:rFonts w:ascii="Times New Roman" w:hAnsi="Times New Roman"/>
          <w:i w:val="0"/>
          <w:iCs/>
          <w:sz w:val="24"/>
        </w:rPr>
        <w:fldChar w:fldCharType="begin"/>
      </w:r>
      <w:r w:rsidR="00BF6FA1">
        <w:rPr>
          <w:rFonts w:ascii="Times New Roman" w:hAnsi="Times New Roman"/>
          <w:i w:val="0"/>
          <w:iCs/>
          <w:sz w:val="24"/>
        </w:rPr>
        <w:instrText xml:space="preserve"> REF _Ref85460905 \r \h </w:instrText>
      </w:r>
      <w:r w:rsidR="00BF6FA1">
        <w:rPr>
          <w:rFonts w:ascii="Times New Roman" w:hAnsi="Times New Roman"/>
          <w:i w:val="0"/>
          <w:iCs/>
          <w:sz w:val="24"/>
        </w:rPr>
      </w:r>
      <w:r w:rsidR="00BF6FA1">
        <w:rPr>
          <w:rFonts w:ascii="Times New Roman" w:hAnsi="Times New Roman"/>
          <w:i w:val="0"/>
          <w:iCs/>
          <w:sz w:val="24"/>
        </w:rPr>
        <w:fldChar w:fldCharType="separate"/>
      </w:r>
      <w:r w:rsidR="00BF6FA1">
        <w:rPr>
          <w:rFonts w:ascii="Times New Roman" w:hAnsi="Times New Roman"/>
          <w:i w:val="0"/>
          <w:iCs/>
          <w:sz w:val="24"/>
        </w:rPr>
        <w:t>[1]</w:t>
      </w:r>
      <w:r w:rsidR="00BF6FA1">
        <w:rPr>
          <w:rFonts w:ascii="Times New Roman" w:hAnsi="Times New Roman"/>
          <w:i w:val="0"/>
          <w:iCs/>
          <w:sz w:val="24"/>
        </w:rPr>
        <w:fldChar w:fldCharType="end"/>
      </w:r>
      <w:r w:rsidR="00BF6FA1">
        <w:rPr>
          <w:rFonts w:ascii="Times New Roman" w:hAnsi="Times New Roman"/>
          <w:i w:val="0"/>
          <w:iCs/>
          <w:sz w:val="24"/>
        </w:rPr>
        <w:t xml:space="preserve">. SA4 has now replied </w:t>
      </w:r>
      <w:r w:rsidR="00BF6FA1">
        <w:rPr>
          <w:rFonts w:ascii="Times New Roman" w:hAnsi="Times New Roman"/>
          <w:i w:val="0"/>
          <w:iCs/>
          <w:sz w:val="24"/>
        </w:rPr>
        <w:fldChar w:fldCharType="begin"/>
      </w:r>
      <w:r w:rsidR="00BF6FA1">
        <w:rPr>
          <w:rFonts w:ascii="Times New Roman" w:hAnsi="Times New Roman"/>
          <w:i w:val="0"/>
          <w:iCs/>
          <w:sz w:val="24"/>
        </w:rPr>
        <w:instrText xml:space="preserve"> REF _Ref85461042 \r \h </w:instrText>
      </w:r>
      <w:r w:rsidR="00BF6FA1">
        <w:rPr>
          <w:rFonts w:ascii="Times New Roman" w:hAnsi="Times New Roman"/>
          <w:i w:val="0"/>
          <w:iCs/>
          <w:sz w:val="24"/>
        </w:rPr>
      </w:r>
      <w:r w:rsidR="00BF6FA1">
        <w:rPr>
          <w:rFonts w:ascii="Times New Roman" w:hAnsi="Times New Roman"/>
          <w:i w:val="0"/>
          <w:iCs/>
          <w:sz w:val="24"/>
        </w:rPr>
        <w:fldChar w:fldCharType="separate"/>
      </w:r>
      <w:r w:rsidR="00BF6FA1">
        <w:rPr>
          <w:rFonts w:ascii="Times New Roman" w:hAnsi="Times New Roman"/>
          <w:i w:val="0"/>
          <w:iCs/>
          <w:sz w:val="24"/>
        </w:rPr>
        <w:t>[2]</w:t>
      </w:r>
      <w:r w:rsidR="00BF6FA1">
        <w:rPr>
          <w:rFonts w:ascii="Times New Roman" w:hAnsi="Times New Roman"/>
          <w:i w:val="0"/>
          <w:iCs/>
          <w:sz w:val="24"/>
        </w:rPr>
        <w:fldChar w:fldCharType="end"/>
      </w:r>
      <w:r w:rsidR="00BF6FA1">
        <w:rPr>
          <w:rFonts w:ascii="Times New Roman" w:hAnsi="Times New Roman"/>
          <w:i w:val="0"/>
          <w:iCs/>
          <w:sz w:val="24"/>
        </w:rPr>
        <w:t xml:space="preserve"> stating that they would prefer to do away with size limits altogether</w:t>
      </w:r>
      <w:r w:rsidR="00310ECA">
        <w:rPr>
          <w:rFonts w:ascii="Times New Roman" w:hAnsi="Times New Roman"/>
          <w:i w:val="0"/>
          <w:iCs/>
          <w:sz w:val="24"/>
        </w:rPr>
        <w:t xml:space="preserve"> in order to accommodate more advanced services such as Virtual Reality (VR). SA4 has also mentioned that, in their understanding, “</w:t>
      </w:r>
      <w:r w:rsidR="00310ECA" w:rsidRPr="00310ECA">
        <w:rPr>
          <w:rFonts w:ascii="Times New Roman" w:hAnsi="Times New Roman"/>
          <w:i w:val="0"/>
          <w:iCs/>
          <w:sz w:val="24"/>
        </w:rPr>
        <w:t>RRC segmentation is already available in NR, which can be used in the (still rare) cases where a QoE configuration or report exceeds the PDCP size limit.</w:t>
      </w:r>
      <w:r w:rsidR="00310ECA">
        <w:rPr>
          <w:rFonts w:ascii="Times New Roman" w:hAnsi="Times New Roman"/>
          <w:i w:val="0"/>
          <w:iCs/>
          <w:sz w:val="24"/>
        </w:rPr>
        <w:t>”</w:t>
      </w:r>
    </w:p>
    <w:p w14:paraId="4DB45ED2" w14:textId="1BA689E3" w:rsidR="00165712" w:rsidRDefault="00165712" w:rsidP="005E56C2">
      <w:pPr>
        <w:spacing w:after="180"/>
        <w:contextualSpacing/>
        <w:jc w:val="both"/>
        <w:rPr>
          <w:szCs w:val="20"/>
        </w:rPr>
      </w:pPr>
    </w:p>
    <w:p w14:paraId="6B0AB727" w14:textId="063F0909" w:rsidR="00191980" w:rsidRPr="009C0798" w:rsidRDefault="008674CA" w:rsidP="005E56C2">
      <w:pPr>
        <w:spacing w:after="180"/>
        <w:contextualSpacing/>
        <w:jc w:val="both"/>
        <w:rPr>
          <w:szCs w:val="20"/>
        </w:rPr>
      </w:pPr>
      <w:r>
        <w:rPr>
          <w:szCs w:val="20"/>
        </w:rPr>
        <w:t xml:space="preserve">In </w:t>
      </w:r>
      <w:r w:rsidR="0004744E">
        <w:rPr>
          <w:szCs w:val="20"/>
        </w:rPr>
        <w:t xml:space="preserve">this contribution, we provide some views on </w:t>
      </w:r>
      <w:r w:rsidR="00A17150">
        <w:rPr>
          <w:szCs w:val="20"/>
        </w:rPr>
        <w:t>the suitability of RRC segmentation for NR QoE measurement collection.</w:t>
      </w:r>
    </w:p>
    <w:p w14:paraId="329FF664" w14:textId="19279879" w:rsidR="00585371" w:rsidRDefault="00EA5A5B" w:rsidP="008674CA">
      <w:pPr>
        <w:pStyle w:val="Heading1"/>
        <w:jc w:val="both"/>
      </w:pPr>
      <w:r>
        <w:t>Discussion</w:t>
      </w:r>
    </w:p>
    <w:p w14:paraId="0E0D2D03" w14:textId="07CD9C1A" w:rsidR="00EA38DB" w:rsidRDefault="00A17150" w:rsidP="00A17150">
      <w:r>
        <w:t xml:space="preserve">RRC segmentation was introduced in Release 16 </w:t>
      </w:r>
      <w:r w:rsidR="00107107">
        <w:t xml:space="preserve">to transport RRC message PDUs that exceed the maximum PDCP SDU size. Currently RRC segmentation is applicable for </w:t>
      </w:r>
      <w:r w:rsidR="00107107">
        <w:rPr>
          <w:i/>
          <w:iCs/>
        </w:rPr>
        <w:t>UECapabilityInformation</w:t>
      </w:r>
      <w:r w:rsidR="00107107">
        <w:t xml:space="preserve">, </w:t>
      </w:r>
      <w:r w:rsidR="00107107">
        <w:rPr>
          <w:i/>
          <w:iCs/>
        </w:rPr>
        <w:t>RRCReconfiguration</w:t>
      </w:r>
      <w:r w:rsidR="00107107">
        <w:t xml:space="preserve">, and </w:t>
      </w:r>
      <w:r w:rsidR="00107107">
        <w:rPr>
          <w:i/>
          <w:iCs/>
        </w:rPr>
        <w:t>RRCResume</w:t>
      </w:r>
      <w:r w:rsidR="00107107">
        <w:t xml:space="preserve"> messages.</w:t>
      </w:r>
      <w:r w:rsidR="00E105E6">
        <w:t xml:space="preserve"> </w:t>
      </w:r>
    </w:p>
    <w:p w14:paraId="75EA551A" w14:textId="39CFC779" w:rsidR="007C3B09" w:rsidRDefault="007C3B09" w:rsidP="00A17150"/>
    <w:p w14:paraId="7427472D" w14:textId="77777777" w:rsidR="002C7B4E" w:rsidRDefault="007C3B09" w:rsidP="002C7B4E">
      <w:r>
        <w:t xml:space="preserve">NR QoE measurement configuration is realized via the </w:t>
      </w:r>
      <w:r w:rsidRPr="007C3B09">
        <w:rPr>
          <w:rFonts w:ascii="Courier New" w:hAnsi="Courier New" w:cs="Courier New"/>
          <w:sz w:val="22"/>
          <w:szCs w:val="22"/>
        </w:rPr>
        <w:t>OtherConfig-v17xy</w:t>
      </w:r>
      <w:r>
        <w:t xml:space="preserve"> IE which is part of the </w:t>
      </w:r>
      <w:r w:rsidRPr="007C3B09">
        <w:rPr>
          <w:i/>
          <w:iCs/>
        </w:rPr>
        <w:t>RRCReconfiguration</w:t>
      </w:r>
      <w:r>
        <w:t xml:space="preserve"> message. </w:t>
      </w:r>
      <w:r w:rsidR="003B0866">
        <w:t>If the NR QoE measurement configuration exceeds the maximum PDCP SDU size, then the network can employ the existing method of RRC segmentation for UEs that support downlink RRC segmen</w:t>
      </w:r>
      <w:r w:rsidR="002C7B4E">
        <w:t>t</w:t>
      </w:r>
      <w:r w:rsidR="003B0866">
        <w:t xml:space="preserve">ation (via the UE </w:t>
      </w:r>
      <w:r w:rsidR="002C7B4E">
        <w:t xml:space="preserve">NR capability IE, </w:t>
      </w:r>
      <w:r w:rsidR="002C7B4E" w:rsidRPr="002C7B4E">
        <w:rPr>
          <w:rFonts w:ascii="Courier New" w:hAnsi="Courier New" w:cs="Courier New"/>
          <w:sz w:val="22"/>
          <w:szCs w:val="22"/>
        </w:rPr>
        <w:t>dl-DedicatedMessageSegmentation-r16</w:t>
      </w:r>
      <w:r w:rsidR="002C7B4E">
        <w:t>).</w:t>
      </w:r>
    </w:p>
    <w:p w14:paraId="0BC94C47" w14:textId="77777777" w:rsidR="002C7B4E" w:rsidRDefault="002C7B4E" w:rsidP="002C7B4E"/>
    <w:p w14:paraId="02ACC77A" w14:textId="4CB0A002" w:rsidR="003B0866" w:rsidRDefault="002C7B4E" w:rsidP="002C7B4E">
      <w:pPr>
        <w:rPr>
          <w:rFonts w:eastAsia="Times New Roman"/>
          <w:lang w:eastAsia="en-US"/>
        </w:rPr>
      </w:pPr>
      <w:r>
        <w:t xml:space="preserve">In the uplink, NR QoE measurements will be transported using the </w:t>
      </w:r>
      <w:r w:rsidRPr="002C7B4E">
        <w:rPr>
          <w:i/>
          <w:iCs/>
        </w:rPr>
        <w:t>MeasurementReportAppLayerMessage</w:t>
      </w:r>
      <w:r>
        <w:rPr>
          <w:rFonts w:ascii="CourierNewPSMT" w:eastAsia="Times New Roman" w:hAnsi="CourierNewPSMT"/>
          <w:sz w:val="16"/>
          <w:szCs w:val="16"/>
          <w:lang w:eastAsia="en-US"/>
        </w:rPr>
        <w:t>.</w:t>
      </w:r>
      <w:r w:rsidR="00D2207E">
        <w:rPr>
          <w:rFonts w:eastAsia="Times New Roman"/>
          <w:lang w:eastAsia="en-US"/>
        </w:rPr>
        <w:t xml:space="preserve"> </w:t>
      </w:r>
      <w:r w:rsidR="00E00FC6">
        <w:rPr>
          <w:rFonts w:eastAsia="Times New Roman"/>
          <w:lang w:eastAsia="en-US"/>
        </w:rPr>
        <w:t>While segmentation of this message it not currently supported, it seems relatively straight-forward to extend RRC segmentation to NR QoE measurement reports as well.</w:t>
      </w:r>
    </w:p>
    <w:p w14:paraId="2EF74C7C" w14:textId="603E1021" w:rsidR="00E00FC6" w:rsidRDefault="00E00FC6" w:rsidP="002C7B4E">
      <w:pPr>
        <w:rPr>
          <w:rFonts w:eastAsia="Times New Roman"/>
          <w:lang w:eastAsia="en-US"/>
        </w:rPr>
      </w:pPr>
    </w:p>
    <w:p w14:paraId="47FDAF15" w14:textId="67E45694" w:rsidR="00E00FC6" w:rsidRPr="00E00FC6" w:rsidRDefault="00E00FC6" w:rsidP="002C7B4E">
      <w:pPr>
        <w:rPr>
          <w:rFonts w:eastAsia="Times New Roman"/>
          <w:b/>
          <w:bCs/>
          <w:lang w:eastAsia="en-US"/>
        </w:rPr>
      </w:pPr>
      <w:r w:rsidRPr="00E00FC6">
        <w:rPr>
          <w:rFonts w:eastAsia="Times New Roman"/>
          <w:b/>
          <w:bCs/>
          <w:lang w:eastAsia="en-US"/>
        </w:rPr>
        <w:t>Observation 1: From an RRC specification point of view, supporting segmentation of NR QoE measurement configuration and reporting is either already possible (measurement configuration) or can be easily achieved (measurement reporting).</w:t>
      </w:r>
    </w:p>
    <w:p w14:paraId="58E08F94" w14:textId="39F0F3F0" w:rsidR="00E00FC6" w:rsidRDefault="00E00FC6" w:rsidP="002C7B4E">
      <w:pPr>
        <w:rPr>
          <w:rFonts w:eastAsia="Times New Roman"/>
          <w:lang w:eastAsia="en-US"/>
        </w:rPr>
      </w:pPr>
    </w:p>
    <w:p w14:paraId="6BCB097D" w14:textId="3FE25A07" w:rsidR="00E00FC6" w:rsidRDefault="000D7C0B" w:rsidP="002C7B4E">
      <w:pPr>
        <w:rPr>
          <w:rFonts w:eastAsia="Times New Roman"/>
          <w:lang w:eastAsia="en-US"/>
        </w:rPr>
      </w:pPr>
      <w:r>
        <w:rPr>
          <w:rFonts w:eastAsia="Times New Roman"/>
          <w:lang w:eastAsia="en-US"/>
        </w:rPr>
        <w:t>However the complexity of supporting RRC segmentation for NR QoE lies in some system level issues that we discuss next.</w:t>
      </w:r>
    </w:p>
    <w:p w14:paraId="69A48725" w14:textId="67E19704" w:rsidR="000D7C0B" w:rsidRDefault="000D7C0B" w:rsidP="002C7B4E">
      <w:pPr>
        <w:rPr>
          <w:rFonts w:eastAsia="Times New Roman"/>
          <w:lang w:eastAsia="en-US"/>
        </w:rPr>
      </w:pPr>
    </w:p>
    <w:p w14:paraId="546B68F7" w14:textId="39973E53" w:rsidR="000D7C0B" w:rsidRDefault="000D7C0B" w:rsidP="002C7B4E">
      <w:pPr>
        <w:rPr>
          <w:rFonts w:eastAsia="Times New Roman"/>
          <w:lang w:eastAsia="en-US"/>
        </w:rPr>
      </w:pPr>
      <w:r>
        <w:rPr>
          <w:rFonts w:eastAsia="Times New Roman"/>
          <w:lang w:eastAsia="en-US"/>
        </w:rPr>
        <w:lastRenderedPageBreak/>
        <w:t>We first note that support of RRC segmentation at the UE is optional in both uplink and downlink directions. Moreover, while the gNB is aware of whether the UE supports RRC segmentation in the downlink (this is part of UE NR capability), the gNB does not know whether or not the UE supports RRC segmentation in the uplink prior to receiving a segmented UL message (</w:t>
      </w:r>
      <w:r>
        <w:rPr>
          <w:rFonts w:eastAsia="Times New Roman"/>
          <w:i/>
          <w:iCs/>
          <w:lang w:eastAsia="en-US"/>
        </w:rPr>
        <w:t>ULDedicatedMessageSegment</w:t>
      </w:r>
      <w:r>
        <w:rPr>
          <w:rFonts w:eastAsia="Times New Roman"/>
          <w:lang w:eastAsia="en-US"/>
        </w:rPr>
        <w:t xml:space="preserve">). </w:t>
      </w:r>
    </w:p>
    <w:p w14:paraId="7A3EC13A" w14:textId="5487CE6C" w:rsidR="000D7C0B" w:rsidRDefault="000D7C0B" w:rsidP="002C7B4E">
      <w:pPr>
        <w:rPr>
          <w:rFonts w:eastAsia="Times New Roman"/>
          <w:lang w:eastAsia="en-US"/>
        </w:rPr>
      </w:pPr>
    </w:p>
    <w:p w14:paraId="7906E4EA" w14:textId="7CF1384E" w:rsidR="000D7C0B" w:rsidRPr="000D7C0B" w:rsidRDefault="000D7C0B" w:rsidP="002C7B4E">
      <w:pPr>
        <w:rPr>
          <w:rFonts w:eastAsia="Times New Roman"/>
          <w:b/>
          <w:bCs/>
          <w:lang w:eastAsia="en-US"/>
        </w:rPr>
      </w:pPr>
      <w:r w:rsidRPr="000D7C0B">
        <w:rPr>
          <w:rFonts w:eastAsia="Times New Roman"/>
          <w:b/>
          <w:bCs/>
          <w:lang w:eastAsia="en-US"/>
        </w:rPr>
        <w:t>Observation 2: Support of RRC segmentation is optional in both the UE and the gNB, in both uplink and downlink directions. The gNB is also not aware a prior</w:t>
      </w:r>
      <w:r>
        <w:rPr>
          <w:rFonts w:eastAsia="Times New Roman"/>
          <w:b/>
          <w:bCs/>
          <w:lang w:eastAsia="en-US"/>
        </w:rPr>
        <w:t>i</w:t>
      </w:r>
      <w:r w:rsidRPr="000D7C0B">
        <w:rPr>
          <w:rFonts w:eastAsia="Times New Roman"/>
          <w:b/>
          <w:bCs/>
          <w:lang w:eastAsia="en-US"/>
        </w:rPr>
        <w:t xml:space="preserve"> of the UE’s support of uplink RRC segmentation.</w:t>
      </w:r>
    </w:p>
    <w:p w14:paraId="73243EB3" w14:textId="08C30974" w:rsidR="007C3B09" w:rsidRDefault="007C3B09" w:rsidP="00A17150">
      <w:pPr>
        <w:rPr>
          <w:rFonts w:eastAsia="Times New Roman"/>
          <w:lang w:eastAsia="en-US"/>
        </w:rPr>
      </w:pPr>
    </w:p>
    <w:p w14:paraId="0A87FE12" w14:textId="24313647" w:rsidR="00CD27CA" w:rsidRDefault="000D7C0B" w:rsidP="00A17150">
      <w:r>
        <w:t xml:space="preserve">Since QoE measurement configuration and reporting is essentially transparent to the AS layers, it becomes the OAM entity’s responsibility to determine whether or not segmentation will be needed. If the OAM determines that segmentation may be required, then it has to ensure that </w:t>
      </w:r>
      <w:r w:rsidR="00A21B27">
        <w:t xml:space="preserve">both </w:t>
      </w:r>
      <w:r>
        <w:t xml:space="preserve">the gNBs and UEs that are engaged in measurement collection support RRC segmentation. In the absence of such information, </w:t>
      </w:r>
      <w:r w:rsidR="00CD27CA">
        <w:t>the OAM cannot be sure that measurement configuration and reports will be dropped by the gNBs and UEs, respectively, if they do not support RRC segmentation.</w:t>
      </w:r>
    </w:p>
    <w:p w14:paraId="667D6278" w14:textId="77777777" w:rsidR="00CD27CA" w:rsidRDefault="00CD27CA" w:rsidP="00A17150"/>
    <w:p w14:paraId="3D4E6602" w14:textId="717A62F0" w:rsidR="000D7C0B" w:rsidRDefault="00CD27CA" w:rsidP="00A17150">
      <w:pPr>
        <w:rPr>
          <w:b/>
          <w:bCs/>
        </w:rPr>
      </w:pPr>
      <w:r w:rsidRPr="00CD27CA">
        <w:rPr>
          <w:b/>
          <w:bCs/>
        </w:rPr>
        <w:t xml:space="preserve">Observation 3: Some mechanism is needed to make the OAM aware of the RRC segmentation capability in uplink and downlink of the participating gNBs and UEs. </w:t>
      </w:r>
    </w:p>
    <w:p w14:paraId="7F329223" w14:textId="521D39C8" w:rsidR="00CD27CA" w:rsidRDefault="00CD27CA" w:rsidP="00A17150">
      <w:pPr>
        <w:rPr>
          <w:b/>
          <w:bCs/>
        </w:rPr>
      </w:pPr>
    </w:p>
    <w:p w14:paraId="463E8B3E" w14:textId="264DB8A9" w:rsidR="00CD27CA" w:rsidRDefault="00CD27CA" w:rsidP="00A17150">
      <w:r>
        <w:t xml:space="preserve">The need to support RRC segmentation of QoE measurement reports is also likely to impact handover procedures. Suppose a UE is configured with a measurement that generates large reports, and both the UE and the (source) gNB support uplink RRC segmentation. Now suppose this UE is handed over to a (target) gNB that does not support uplink RRC segmentation. Then </w:t>
      </w:r>
      <w:r w:rsidR="005A368F">
        <w:t>a graceful mechanism is needed to ensure that QoE measurements are not unnecessarily generated and dropped.</w:t>
      </w:r>
    </w:p>
    <w:p w14:paraId="0EB20084" w14:textId="5DCA889D" w:rsidR="005A368F" w:rsidRDefault="005A368F" w:rsidP="00A17150"/>
    <w:p w14:paraId="3DE7E5DF" w14:textId="70855755" w:rsidR="005A368F" w:rsidRDefault="005A368F" w:rsidP="00A17150">
      <w:pPr>
        <w:rPr>
          <w:b/>
          <w:bCs/>
        </w:rPr>
      </w:pPr>
      <w:r w:rsidRPr="005A368F">
        <w:rPr>
          <w:b/>
          <w:bCs/>
        </w:rPr>
        <w:t xml:space="preserve">Observation 4: </w:t>
      </w:r>
      <w:r w:rsidR="008524D7">
        <w:rPr>
          <w:b/>
          <w:bCs/>
        </w:rPr>
        <w:t>The impact</w:t>
      </w:r>
      <w:r w:rsidRPr="005A368F">
        <w:rPr>
          <w:b/>
          <w:bCs/>
        </w:rPr>
        <w:t xml:space="preserve"> of RRC segmentation </w:t>
      </w:r>
      <w:r w:rsidR="008524D7">
        <w:rPr>
          <w:b/>
          <w:bCs/>
        </w:rPr>
        <w:t>for NR QoE on</w:t>
      </w:r>
      <w:r w:rsidRPr="005A368F">
        <w:rPr>
          <w:b/>
          <w:bCs/>
        </w:rPr>
        <w:t xml:space="preserve"> handover</w:t>
      </w:r>
      <w:r w:rsidR="008524D7">
        <w:rPr>
          <w:b/>
          <w:bCs/>
        </w:rPr>
        <w:t xml:space="preserve"> mechanism</w:t>
      </w:r>
      <w:r w:rsidRPr="005A368F">
        <w:rPr>
          <w:b/>
          <w:bCs/>
        </w:rPr>
        <w:t xml:space="preserve"> needs to be studied.</w:t>
      </w:r>
    </w:p>
    <w:p w14:paraId="2C3BBB2E" w14:textId="0A8893C7" w:rsidR="005A368F" w:rsidRDefault="005A368F" w:rsidP="00A17150">
      <w:pPr>
        <w:rPr>
          <w:b/>
          <w:bCs/>
        </w:rPr>
      </w:pPr>
    </w:p>
    <w:p w14:paraId="3499F862" w14:textId="4A694BD5" w:rsidR="005A368F" w:rsidRDefault="005A368F" w:rsidP="00A17150">
      <w:r>
        <w:t xml:space="preserve">Given the potential system </w:t>
      </w:r>
      <w:r w:rsidR="007F592D">
        <w:t xml:space="preserve">level </w:t>
      </w:r>
      <w:r>
        <w:t>impact of supporting RRC segmentation, we propose that an LS be sent to RAN3 and SA4 informing them of the potential challenges associated with RRC segmentation applied to NR QoE.</w:t>
      </w:r>
    </w:p>
    <w:p w14:paraId="2258E614" w14:textId="477F5E0A" w:rsidR="005A368F" w:rsidRDefault="005A368F" w:rsidP="00A17150"/>
    <w:p w14:paraId="4440370D" w14:textId="0EBB22A5" w:rsidR="00E921CC" w:rsidRPr="005A368F" w:rsidRDefault="005A368F" w:rsidP="005E19C2">
      <w:pPr>
        <w:rPr>
          <w:b/>
          <w:bCs/>
        </w:rPr>
      </w:pPr>
      <w:r w:rsidRPr="005A368F">
        <w:rPr>
          <w:b/>
          <w:bCs/>
        </w:rPr>
        <w:t>Proposal 1: Send an LS to RAN3 and SA4 informing them of the potential challenges associated with supporting RRC segmen</w:t>
      </w:r>
      <w:r>
        <w:rPr>
          <w:b/>
          <w:bCs/>
        </w:rPr>
        <w:t>t</w:t>
      </w:r>
      <w:r w:rsidRPr="005A368F">
        <w:rPr>
          <w:b/>
          <w:bCs/>
        </w:rPr>
        <w:t>ation of NR QoE measurement configuration and reporting.</w:t>
      </w:r>
    </w:p>
    <w:p w14:paraId="2896E657" w14:textId="3DABA2E5" w:rsidR="00854A60" w:rsidRPr="00A6576F" w:rsidRDefault="009C5A97" w:rsidP="005E56C2">
      <w:pPr>
        <w:pStyle w:val="Heading1"/>
        <w:jc w:val="both"/>
      </w:pPr>
      <w:r w:rsidRPr="00A6576F">
        <w:t>Conclusion</w:t>
      </w:r>
      <w:r w:rsidR="00F54B69">
        <w:t>s</w:t>
      </w:r>
    </w:p>
    <w:p w14:paraId="037D039D" w14:textId="35DE7DF6" w:rsidR="008524D7" w:rsidRDefault="00F54B69" w:rsidP="008524D7">
      <w:pPr>
        <w:spacing w:after="180"/>
        <w:contextualSpacing/>
        <w:jc w:val="both"/>
        <w:rPr>
          <w:szCs w:val="20"/>
        </w:rPr>
      </w:pPr>
      <w:r>
        <w:rPr>
          <w:iCs/>
        </w:rPr>
        <w:t xml:space="preserve">In this document, we provide our views </w:t>
      </w:r>
      <w:r w:rsidR="008524D7">
        <w:rPr>
          <w:szCs w:val="20"/>
        </w:rPr>
        <w:t>on the suitability of RRC segmentation for NR QoE measurement collection. Our observations and proposal are summarized below.</w:t>
      </w:r>
    </w:p>
    <w:p w14:paraId="30CB5167" w14:textId="0F343C43" w:rsidR="008524D7" w:rsidRDefault="008524D7" w:rsidP="008524D7">
      <w:pPr>
        <w:rPr>
          <w:b/>
          <w:bCs/>
        </w:rPr>
      </w:pPr>
    </w:p>
    <w:p w14:paraId="36522786" w14:textId="77777777" w:rsidR="008524D7" w:rsidRPr="00E00FC6" w:rsidRDefault="008524D7" w:rsidP="008524D7">
      <w:pPr>
        <w:rPr>
          <w:rFonts w:eastAsia="Times New Roman"/>
          <w:b/>
          <w:bCs/>
          <w:lang w:eastAsia="en-US"/>
        </w:rPr>
      </w:pPr>
      <w:r w:rsidRPr="00E00FC6">
        <w:rPr>
          <w:rFonts w:eastAsia="Times New Roman"/>
          <w:b/>
          <w:bCs/>
          <w:lang w:eastAsia="en-US"/>
        </w:rPr>
        <w:t>Observation 1: From an RRC specification point of view, supporting segmentation of NR QoE measurement configuration and reporting is either already possible (measurement configuration) or can be easily achieved (measurement reporting).</w:t>
      </w:r>
    </w:p>
    <w:p w14:paraId="0D66A845" w14:textId="77777777" w:rsidR="008524D7" w:rsidRDefault="008524D7" w:rsidP="008524D7">
      <w:pPr>
        <w:rPr>
          <w:rFonts w:eastAsia="Times New Roman"/>
          <w:b/>
          <w:bCs/>
          <w:lang w:eastAsia="en-US"/>
        </w:rPr>
      </w:pPr>
    </w:p>
    <w:p w14:paraId="16AC4A06" w14:textId="2AAEC274" w:rsidR="008524D7" w:rsidRPr="000D7C0B" w:rsidRDefault="008524D7" w:rsidP="008524D7">
      <w:pPr>
        <w:rPr>
          <w:rFonts w:eastAsia="Times New Roman"/>
          <w:b/>
          <w:bCs/>
          <w:lang w:eastAsia="en-US"/>
        </w:rPr>
      </w:pPr>
      <w:r w:rsidRPr="000D7C0B">
        <w:rPr>
          <w:rFonts w:eastAsia="Times New Roman"/>
          <w:b/>
          <w:bCs/>
          <w:lang w:eastAsia="en-US"/>
        </w:rPr>
        <w:t>Observation 2: Support of RRC segmentation is optional in both the UE and the gNB, in both uplink and downlink directions. The gNB is also not aware a prior</w:t>
      </w:r>
      <w:r>
        <w:rPr>
          <w:rFonts w:eastAsia="Times New Roman"/>
          <w:b/>
          <w:bCs/>
          <w:lang w:eastAsia="en-US"/>
        </w:rPr>
        <w:t>i</w:t>
      </w:r>
      <w:r w:rsidRPr="000D7C0B">
        <w:rPr>
          <w:rFonts w:eastAsia="Times New Roman"/>
          <w:b/>
          <w:bCs/>
          <w:lang w:eastAsia="en-US"/>
        </w:rPr>
        <w:t xml:space="preserve"> of the UE’s support of uplink RRC segmentation.</w:t>
      </w:r>
    </w:p>
    <w:p w14:paraId="61F888FD" w14:textId="77777777" w:rsidR="008524D7" w:rsidRDefault="008524D7" w:rsidP="008524D7">
      <w:pPr>
        <w:rPr>
          <w:b/>
          <w:bCs/>
        </w:rPr>
      </w:pPr>
    </w:p>
    <w:p w14:paraId="09DBCFD5" w14:textId="77777777" w:rsidR="008524D7" w:rsidRDefault="008524D7" w:rsidP="008524D7">
      <w:pPr>
        <w:rPr>
          <w:b/>
          <w:bCs/>
        </w:rPr>
      </w:pPr>
      <w:r w:rsidRPr="00CD27CA">
        <w:rPr>
          <w:b/>
          <w:bCs/>
        </w:rPr>
        <w:lastRenderedPageBreak/>
        <w:t xml:space="preserve">Observation 3: Some mechanism is needed to make the OAM aware of the RRC segmentation capability in uplink and downlink of the participating gNBs and UEs. </w:t>
      </w:r>
    </w:p>
    <w:p w14:paraId="7EBFE95F" w14:textId="77777777" w:rsidR="008524D7" w:rsidRDefault="008524D7" w:rsidP="008524D7">
      <w:pPr>
        <w:rPr>
          <w:b/>
          <w:bCs/>
        </w:rPr>
      </w:pPr>
    </w:p>
    <w:p w14:paraId="257728CE" w14:textId="02FEA9AC" w:rsidR="008524D7" w:rsidRDefault="008524D7" w:rsidP="008524D7">
      <w:pPr>
        <w:rPr>
          <w:b/>
          <w:bCs/>
        </w:rPr>
      </w:pPr>
      <w:r w:rsidRPr="005A368F">
        <w:rPr>
          <w:b/>
          <w:bCs/>
        </w:rPr>
        <w:t xml:space="preserve">Observation 4: </w:t>
      </w:r>
      <w:r>
        <w:rPr>
          <w:b/>
          <w:bCs/>
        </w:rPr>
        <w:t>The impact</w:t>
      </w:r>
      <w:r w:rsidRPr="005A368F">
        <w:rPr>
          <w:b/>
          <w:bCs/>
        </w:rPr>
        <w:t xml:space="preserve"> of RRC segmentation </w:t>
      </w:r>
      <w:r>
        <w:rPr>
          <w:b/>
          <w:bCs/>
        </w:rPr>
        <w:t>for NR QoE on</w:t>
      </w:r>
      <w:r w:rsidRPr="005A368F">
        <w:rPr>
          <w:b/>
          <w:bCs/>
        </w:rPr>
        <w:t xml:space="preserve"> handover</w:t>
      </w:r>
      <w:r>
        <w:rPr>
          <w:b/>
          <w:bCs/>
        </w:rPr>
        <w:t xml:space="preserve"> mechanism</w:t>
      </w:r>
      <w:r w:rsidRPr="005A368F">
        <w:rPr>
          <w:b/>
          <w:bCs/>
        </w:rPr>
        <w:t xml:space="preserve"> needs to be studied.</w:t>
      </w:r>
    </w:p>
    <w:p w14:paraId="33930ADA" w14:textId="77777777" w:rsidR="008524D7" w:rsidRPr="009C0798" w:rsidRDefault="008524D7" w:rsidP="008524D7">
      <w:pPr>
        <w:spacing w:after="180"/>
        <w:contextualSpacing/>
        <w:jc w:val="both"/>
        <w:rPr>
          <w:szCs w:val="20"/>
        </w:rPr>
      </w:pPr>
    </w:p>
    <w:p w14:paraId="48B7E453" w14:textId="01C417FC" w:rsidR="00BC286B" w:rsidRPr="00BC286B" w:rsidRDefault="008524D7" w:rsidP="00C011F4">
      <w:pPr>
        <w:rPr>
          <w:b/>
          <w:bCs/>
        </w:rPr>
      </w:pPr>
      <w:r w:rsidRPr="005A368F">
        <w:rPr>
          <w:b/>
          <w:bCs/>
        </w:rPr>
        <w:t>Proposal 1: Send an LS to RAN3 and SA4 informing them of the potential challenges associated with supporting RRC segmen</w:t>
      </w:r>
      <w:r>
        <w:rPr>
          <w:b/>
          <w:bCs/>
        </w:rPr>
        <w:t>t</w:t>
      </w:r>
      <w:r w:rsidRPr="005A368F">
        <w:rPr>
          <w:b/>
          <w:bCs/>
        </w:rPr>
        <w:t>ation of NR QoE measurement configuration and reporting.</w:t>
      </w:r>
    </w:p>
    <w:p w14:paraId="2E75F001" w14:textId="77777777" w:rsidR="007E70BB" w:rsidRPr="00A6576F" w:rsidRDefault="005C63AE" w:rsidP="005E56C2">
      <w:pPr>
        <w:pStyle w:val="Heading1"/>
        <w:jc w:val="both"/>
      </w:pPr>
      <w:r w:rsidRPr="00A6576F">
        <w:t>References</w:t>
      </w:r>
    </w:p>
    <w:p w14:paraId="450F5642" w14:textId="78A1B92C" w:rsidR="00C260B5" w:rsidRPr="00BF6FA1" w:rsidRDefault="00C67F4F" w:rsidP="00C260B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85460905"/>
      <w:r>
        <w:t xml:space="preserve">R2-2106776, </w:t>
      </w:r>
      <w:r w:rsidRPr="00C67F4F">
        <w:rPr>
          <w:bCs/>
          <w:lang w:val="en-GB"/>
        </w:rPr>
        <w:t>LS on QoE configuration and reporting related issues</w:t>
      </w:r>
      <w:bookmarkEnd w:id="0"/>
      <w:r w:rsidR="008D3AFB">
        <w:rPr>
          <w:bCs/>
          <w:lang w:val="en-GB"/>
        </w:rPr>
        <w:t>, Source:RAN2</w:t>
      </w:r>
    </w:p>
    <w:p w14:paraId="6919F461" w14:textId="6945AABF" w:rsidR="00BF6FA1" w:rsidRPr="00E105E6" w:rsidRDefault="00BF6FA1" w:rsidP="00C260B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85461042"/>
      <w:r>
        <w:rPr>
          <w:bCs/>
          <w:lang w:val="en-GB"/>
        </w:rPr>
        <w:t xml:space="preserve">S4-211291, </w:t>
      </w:r>
      <w:r w:rsidRPr="00BF6FA1">
        <w:rPr>
          <w:lang w:val="en-GB"/>
        </w:rPr>
        <w:t>Reply LS on QoE configuration and reporting related issues</w:t>
      </w:r>
      <w:bookmarkEnd w:id="1"/>
      <w:r w:rsidR="008D3AFB">
        <w:rPr>
          <w:lang w:val="en-GB"/>
        </w:rPr>
        <w:t>, Source:SA4</w:t>
      </w:r>
    </w:p>
    <w:p w14:paraId="7F430597" w14:textId="57CE1A57" w:rsidR="00E105E6" w:rsidRPr="00BF6FA1" w:rsidRDefault="00E105E6" w:rsidP="00C260B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lang w:val="en-GB"/>
        </w:rPr>
        <w:t>3GPP TS 38.300, NR and NG-RAN overall description, Stage 2</w:t>
      </w:r>
    </w:p>
    <w:sectPr w:rsidR="00E105E6" w:rsidRPr="00BF6FA1"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86F27" w14:textId="77777777" w:rsidR="008437A8" w:rsidRDefault="008437A8">
      <w:r>
        <w:separator/>
      </w:r>
    </w:p>
  </w:endnote>
  <w:endnote w:type="continuationSeparator" w:id="0">
    <w:p w14:paraId="62BB2C9C" w14:textId="77777777" w:rsidR="008437A8" w:rsidRDefault="008437A8">
      <w:r>
        <w:continuationSeparator/>
      </w:r>
    </w:p>
  </w:endnote>
  <w:endnote w:type="continuationNotice" w:id="1">
    <w:p w14:paraId="60DE2B2F" w14:textId="77777777" w:rsidR="008437A8" w:rsidRDefault="00843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NewPSMT">
    <w:altName w:val="Courier New"/>
    <w:panose1 w:val="02070309020205020404"/>
    <w:charset w:val="00"/>
    <w:family w:val="modern"/>
    <w:pitch w:val="fixed"/>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32F4B" w14:textId="77777777" w:rsidR="008437A8" w:rsidRDefault="008437A8">
      <w:r>
        <w:separator/>
      </w:r>
    </w:p>
  </w:footnote>
  <w:footnote w:type="continuationSeparator" w:id="0">
    <w:p w14:paraId="3AE0DB32" w14:textId="77777777" w:rsidR="008437A8" w:rsidRDefault="008437A8">
      <w:r>
        <w:continuationSeparator/>
      </w:r>
    </w:p>
  </w:footnote>
  <w:footnote w:type="continuationNotice" w:id="1">
    <w:p w14:paraId="1917B364" w14:textId="77777777" w:rsidR="008437A8" w:rsidRDefault="008437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AAA3EBB"/>
    <w:multiLevelType w:val="hybridMultilevel"/>
    <w:tmpl w:val="541AE236"/>
    <w:lvl w:ilvl="0" w:tplc="1E7619E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1"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9"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14"/>
  </w:num>
  <w:num w:numId="4">
    <w:abstractNumId w:val="17"/>
  </w:num>
  <w:num w:numId="5">
    <w:abstractNumId w:val="10"/>
  </w:num>
  <w:num w:numId="6">
    <w:abstractNumId w:val="19"/>
  </w:num>
  <w:num w:numId="7">
    <w:abstractNumId w:val="26"/>
  </w:num>
  <w:num w:numId="8">
    <w:abstractNumId w:val="11"/>
  </w:num>
  <w:num w:numId="9">
    <w:abstractNumId w:val="23"/>
  </w:num>
  <w:num w:numId="10">
    <w:abstractNumId w:val="1"/>
  </w:num>
  <w:num w:numId="11">
    <w:abstractNumId w:val="28"/>
  </w:num>
  <w:num w:numId="12">
    <w:abstractNumId w:val="3"/>
  </w:num>
  <w:num w:numId="13">
    <w:abstractNumId w:val="25"/>
  </w:num>
  <w:num w:numId="14">
    <w:abstractNumId w:val="18"/>
  </w:num>
  <w:num w:numId="15">
    <w:abstractNumId w:val="33"/>
  </w:num>
  <w:num w:numId="16">
    <w:abstractNumId w:val="36"/>
  </w:num>
  <w:num w:numId="17">
    <w:abstractNumId w:val="9"/>
  </w:num>
  <w:num w:numId="18">
    <w:abstractNumId w:val="27"/>
  </w:num>
  <w:num w:numId="19">
    <w:abstractNumId w:val="12"/>
  </w:num>
  <w:num w:numId="20">
    <w:abstractNumId w:val="8"/>
  </w:num>
  <w:num w:numId="21">
    <w:abstractNumId w:val="24"/>
  </w:num>
  <w:num w:numId="22">
    <w:abstractNumId w:val="4"/>
  </w:num>
  <w:num w:numId="23">
    <w:abstractNumId w:val="21"/>
  </w:num>
  <w:num w:numId="24">
    <w:abstractNumId w:val="31"/>
  </w:num>
  <w:num w:numId="25">
    <w:abstractNumId w:val="35"/>
  </w:num>
  <w:num w:numId="26">
    <w:abstractNumId w:val="20"/>
  </w:num>
  <w:num w:numId="27">
    <w:abstractNumId w:val="16"/>
  </w:num>
  <w:num w:numId="28">
    <w:abstractNumId w:val="7"/>
  </w:num>
  <w:num w:numId="29">
    <w:abstractNumId w:val="34"/>
  </w:num>
  <w:num w:numId="30">
    <w:abstractNumId w:val="5"/>
  </w:num>
  <w:num w:numId="31">
    <w:abstractNumId w:val="30"/>
  </w:num>
  <w:num w:numId="32">
    <w:abstractNumId w:val="29"/>
  </w:num>
  <w:num w:numId="33">
    <w:abstractNumId w:val="6"/>
  </w:num>
  <w:num w:numId="3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2"/>
  </w:num>
  <w:num w:numId="37">
    <w:abstractNumId w:val="13"/>
  </w:num>
  <w:num w:numId="3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B4A"/>
    <w:rsid w:val="00065E1A"/>
    <w:rsid w:val="000668B8"/>
    <w:rsid w:val="00067759"/>
    <w:rsid w:val="000707A2"/>
    <w:rsid w:val="0007086A"/>
    <w:rsid w:val="000708A3"/>
    <w:rsid w:val="00071F96"/>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C4"/>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D7C0B"/>
    <w:rsid w:val="000E0527"/>
    <w:rsid w:val="000E0855"/>
    <w:rsid w:val="000E0A04"/>
    <w:rsid w:val="000E113C"/>
    <w:rsid w:val="000E1875"/>
    <w:rsid w:val="000E1E92"/>
    <w:rsid w:val="000E3413"/>
    <w:rsid w:val="000E3A5F"/>
    <w:rsid w:val="000E3B59"/>
    <w:rsid w:val="000E3CE6"/>
    <w:rsid w:val="000E49DC"/>
    <w:rsid w:val="000E4B42"/>
    <w:rsid w:val="000E5750"/>
    <w:rsid w:val="000E63BE"/>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07"/>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B79"/>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471"/>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4E"/>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ECA"/>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CCD"/>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0866"/>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3CC"/>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063"/>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68F"/>
    <w:rsid w:val="005A3F97"/>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BFF"/>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9C2"/>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245"/>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2E4E"/>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B0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89E"/>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92D"/>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7A8"/>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4D7"/>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CAB"/>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3AFB"/>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8EC"/>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2C0"/>
    <w:rsid w:val="00980431"/>
    <w:rsid w:val="00980477"/>
    <w:rsid w:val="0098075D"/>
    <w:rsid w:val="009818B3"/>
    <w:rsid w:val="00981B5D"/>
    <w:rsid w:val="009820FD"/>
    <w:rsid w:val="00982E8E"/>
    <w:rsid w:val="009834A9"/>
    <w:rsid w:val="00983B4E"/>
    <w:rsid w:val="009840DA"/>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50"/>
    <w:rsid w:val="00A171D3"/>
    <w:rsid w:val="00A17EBF"/>
    <w:rsid w:val="00A17F63"/>
    <w:rsid w:val="00A20373"/>
    <w:rsid w:val="00A20379"/>
    <w:rsid w:val="00A20E07"/>
    <w:rsid w:val="00A21369"/>
    <w:rsid w:val="00A2193B"/>
    <w:rsid w:val="00A21B27"/>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CB1"/>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8C6"/>
    <w:rsid w:val="00AB1F9E"/>
    <w:rsid w:val="00AB2F6B"/>
    <w:rsid w:val="00AB34CD"/>
    <w:rsid w:val="00AB3938"/>
    <w:rsid w:val="00AB3A48"/>
    <w:rsid w:val="00AB3F33"/>
    <w:rsid w:val="00AB4AB8"/>
    <w:rsid w:val="00AB4AF9"/>
    <w:rsid w:val="00AB51C6"/>
    <w:rsid w:val="00AB5AB8"/>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3E8"/>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19B"/>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E1"/>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6FA1"/>
    <w:rsid w:val="00BF7217"/>
    <w:rsid w:val="00BF7356"/>
    <w:rsid w:val="00BF74C7"/>
    <w:rsid w:val="00BF7623"/>
    <w:rsid w:val="00C001BE"/>
    <w:rsid w:val="00C00704"/>
    <w:rsid w:val="00C00962"/>
    <w:rsid w:val="00C009AC"/>
    <w:rsid w:val="00C00AE8"/>
    <w:rsid w:val="00C00B53"/>
    <w:rsid w:val="00C01018"/>
    <w:rsid w:val="00C011F4"/>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0B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4F"/>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6550"/>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7CA"/>
    <w:rsid w:val="00CD2B1A"/>
    <w:rsid w:val="00CD2D0C"/>
    <w:rsid w:val="00CD2ED1"/>
    <w:rsid w:val="00CD2F77"/>
    <w:rsid w:val="00CD31A8"/>
    <w:rsid w:val="00CD337B"/>
    <w:rsid w:val="00CD3412"/>
    <w:rsid w:val="00CD4074"/>
    <w:rsid w:val="00CD424E"/>
    <w:rsid w:val="00CD4AD6"/>
    <w:rsid w:val="00CD5342"/>
    <w:rsid w:val="00CD5555"/>
    <w:rsid w:val="00CD758C"/>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0BED"/>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027"/>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07E"/>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5799D"/>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7"/>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ADC"/>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01"/>
    <w:rsid w:val="00DD7A99"/>
    <w:rsid w:val="00DD7DCF"/>
    <w:rsid w:val="00DE06D0"/>
    <w:rsid w:val="00DE0BA8"/>
    <w:rsid w:val="00DE127F"/>
    <w:rsid w:val="00DE16A2"/>
    <w:rsid w:val="00DE1825"/>
    <w:rsid w:val="00DE1ADF"/>
    <w:rsid w:val="00DE1E5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985"/>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0FC6"/>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5E6"/>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1C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38DB"/>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3CE"/>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0FA0"/>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4973395">
      <w:bodyDiv w:val="1"/>
      <w:marLeft w:val="0"/>
      <w:marRight w:val="0"/>
      <w:marTop w:val="0"/>
      <w:marBottom w:val="0"/>
      <w:divBdr>
        <w:top w:val="none" w:sz="0" w:space="0" w:color="auto"/>
        <w:left w:val="none" w:sz="0" w:space="0" w:color="auto"/>
        <w:bottom w:val="none" w:sz="0" w:space="0" w:color="auto"/>
        <w:right w:val="none" w:sz="0" w:space="0" w:color="auto"/>
      </w:divBdr>
      <w:divsChild>
        <w:div w:id="507645405">
          <w:marLeft w:val="0"/>
          <w:marRight w:val="0"/>
          <w:marTop w:val="0"/>
          <w:marBottom w:val="0"/>
          <w:divBdr>
            <w:top w:val="none" w:sz="0" w:space="0" w:color="auto"/>
            <w:left w:val="none" w:sz="0" w:space="0" w:color="auto"/>
            <w:bottom w:val="none" w:sz="0" w:space="0" w:color="auto"/>
            <w:right w:val="none" w:sz="0" w:space="0" w:color="auto"/>
          </w:divBdr>
          <w:divsChild>
            <w:div w:id="842738999">
              <w:marLeft w:val="0"/>
              <w:marRight w:val="0"/>
              <w:marTop w:val="0"/>
              <w:marBottom w:val="0"/>
              <w:divBdr>
                <w:top w:val="none" w:sz="0" w:space="0" w:color="auto"/>
                <w:left w:val="none" w:sz="0" w:space="0" w:color="auto"/>
                <w:bottom w:val="none" w:sz="0" w:space="0" w:color="auto"/>
                <w:right w:val="none" w:sz="0" w:space="0" w:color="auto"/>
              </w:divBdr>
              <w:divsChild>
                <w:div w:id="1261648518">
                  <w:marLeft w:val="0"/>
                  <w:marRight w:val="0"/>
                  <w:marTop w:val="0"/>
                  <w:marBottom w:val="0"/>
                  <w:divBdr>
                    <w:top w:val="none" w:sz="0" w:space="0" w:color="auto"/>
                    <w:left w:val="none" w:sz="0" w:space="0" w:color="auto"/>
                    <w:bottom w:val="none" w:sz="0" w:space="0" w:color="auto"/>
                    <w:right w:val="none" w:sz="0" w:space="0" w:color="auto"/>
                  </w:divBdr>
                  <w:divsChild>
                    <w:div w:id="10996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1490584">
      <w:bodyDiv w:val="1"/>
      <w:marLeft w:val="0"/>
      <w:marRight w:val="0"/>
      <w:marTop w:val="0"/>
      <w:marBottom w:val="0"/>
      <w:divBdr>
        <w:top w:val="none" w:sz="0" w:space="0" w:color="auto"/>
        <w:left w:val="none" w:sz="0" w:space="0" w:color="auto"/>
        <w:bottom w:val="none" w:sz="0" w:space="0" w:color="auto"/>
        <w:right w:val="none" w:sz="0" w:space="0" w:color="auto"/>
      </w:divBdr>
      <w:divsChild>
        <w:div w:id="129249523">
          <w:marLeft w:val="0"/>
          <w:marRight w:val="0"/>
          <w:marTop w:val="0"/>
          <w:marBottom w:val="0"/>
          <w:divBdr>
            <w:top w:val="none" w:sz="0" w:space="0" w:color="auto"/>
            <w:left w:val="none" w:sz="0" w:space="0" w:color="auto"/>
            <w:bottom w:val="none" w:sz="0" w:space="0" w:color="auto"/>
            <w:right w:val="none" w:sz="0" w:space="0" w:color="auto"/>
          </w:divBdr>
          <w:divsChild>
            <w:div w:id="1892620273">
              <w:marLeft w:val="0"/>
              <w:marRight w:val="0"/>
              <w:marTop w:val="0"/>
              <w:marBottom w:val="0"/>
              <w:divBdr>
                <w:top w:val="none" w:sz="0" w:space="0" w:color="auto"/>
                <w:left w:val="none" w:sz="0" w:space="0" w:color="auto"/>
                <w:bottom w:val="none" w:sz="0" w:space="0" w:color="auto"/>
                <w:right w:val="none" w:sz="0" w:space="0" w:color="auto"/>
              </w:divBdr>
              <w:divsChild>
                <w:div w:id="877470462">
                  <w:marLeft w:val="0"/>
                  <w:marRight w:val="0"/>
                  <w:marTop w:val="0"/>
                  <w:marBottom w:val="0"/>
                  <w:divBdr>
                    <w:top w:val="none" w:sz="0" w:space="0" w:color="auto"/>
                    <w:left w:val="none" w:sz="0" w:space="0" w:color="auto"/>
                    <w:bottom w:val="none" w:sz="0" w:space="0" w:color="auto"/>
                    <w:right w:val="none" w:sz="0" w:space="0" w:color="auto"/>
                  </w:divBdr>
                  <w:divsChild>
                    <w:div w:id="123531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1022</Words>
  <Characters>4877</Characters>
  <Application>Microsoft Office Word</Application>
  <DocSecurity>0</DocSecurity>
  <Lines>93</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2021-10-21T15:27:00Z</dcterms:created>
  <dcterms:modified xsi:type="dcterms:W3CDTF">2021-10-21T21:49:00Z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